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ind w:right="-142"/>
        <w:jc w:val="center"/>
        <w:rPr>
          <w:rFonts w:ascii="Times New Roman" w:cs="Times New Roman" w:eastAsia="Times New Roman" w:hAnsi="Times New Roman"/>
          <w:b w:val="1"/>
          <w:i w:val="1"/>
          <w:smallCaps w:val="1"/>
          <w:sz w:val="24"/>
          <w:szCs w:val="24"/>
        </w:rPr>
      </w:pPr>
      <w:r w:rsidDel="00000000" w:rsidR="00000000" w:rsidRPr="00000000">
        <w:rPr>
          <w:rFonts w:ascii="Times New Roman" w:cs="Times New Roman" w:eastAsia="Times New Roman" w:hAnsi="Times New Roman"/>
          <w:b w:val="1"/>
          <w:i w:val="1"/>
          <w:smallCaps w:val="1"/>
          <w:sz w:val="24"/>
          <w:szCs w:val="24"/>
          <w:rtl w:val="0"/>
        </w:rPr>
        <w:t xml:space="preserve">ЗВІТ НЕЗАЛЕЖНОГО АУДИТОРА</w:t>
      </w:r>
    </w:p>
    <w:p w:rsidR="00000000" w:rsidDel="00000000" w:rsidP="00000000" w:rsidRDefault="00000000" w:rsidRPr="00000000" w14:paraId="00000011">
      <w:pPr>
        <w:spacing w:after="0" w:lineRule="auto"/>
        <w:ind w:right="-142"/>
        <w:jc w:val="center"/>
        <w:rPr>
          <w:rFonts w:ascii="Times New Roman" w:cs="Times New Roman" w:eastAsia="Times New Roman" w:hAnsi="Times New Roman"/>
          <w:b w:val="1"/>
          <w:i w:val="1"/>
          <w:smallCaps w:val="1"/>
          <w:sz w:val="24"/>
          <w:szCs w:val="24"/>
        </w:rPr>
      </w:pPr>
      <w:r w:rsidDel="00000000" w:rsidR="00000000" w:rsidRPr="00000000">
        <w:rPr>
          <w:rFonts w:ascii="Times New Roman" w:cs="Times New Roman" w:eastAsia="Times New Roman" w:hAnsi="Times New Roman"/>
          <w:b w:val="1"/>
          <w:i w:val="1"/>
          <w:smallCaps w:val="1"/>
          <w:sz w:val="24"/>
          <w:szCs w:val="24"/>
          <w:rtl w:val="0"/>
        </w:rPr>
        <w:t xml:space="preserve"> З НАДАННЯ ОБҐРУНТОВАНОЇ ВПЕВНЕНОСТІ </w:t>
      </w:r>
    </w:p>
    <w:p w:rsidR="00000000" w:rsidDel="00000000" w:rsidP="00000000" w:rsidRDefault="00000000" w:rsidRPr="00000000" w14:paraId="00000012">
      <w:pPr>
        <w:spacing w:after="0" w:lineRule="auto"/>
        <w:ind w:right="-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щодо інформації, наведеної в звіті про корпоративне управління  </w:t>
      </w:r>
    </w:p>
    <w:p w:rsidR="00000000" w:rsidDel="00000000" w:rsidP="00000000" w:rsidRDefault="00000000" w:rsidRPr="00000000" w14:paraId="00000013">
      <w:pPr>
        <w:spacing w:after="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ПРИВАТНОГО  АКЦІОНЕРНОГО  ТОВАРИСТВА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БЕТОН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after="0" w:lineRule="auto"/>
        <w:ind w:right="-142"/>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за  рік, що закінчився 31 грудня 2020 року</w:t>
      </w:r>
      <w:r w:rsidDel="00000000" w:rsidR="00000000" w:rsidRPr="00000000">
        <w:rPr>
          <w:rtl w:val="0"/>
        </w:rPr>
      </w:r>
    </w:p>
    <w:p w:rsidR="00000000" w:rsidDel="00000000" w:rsidP="00000000" w:rsidRDefault="00000000" w:rsidRPr="00000000" w14:paraId="00000015">
      <w:pPr>
        <w:spacing w:after="0" w:lineRule="auto"/>
        <w:ind w:left="43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ind w:right="-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Адресат:</w:t>
      </w:r>
    </w:p>
    <w:p w:rsidR="00000000" w:rsidDel="00000000" w:rsidP="00000000" w:rsidRDefault="00000000" w:rsidRPr="00000000" w14:paraId="00000017">
      <w:pPr>
        <w:spacing w:after="0" w:lineRule="auto"/>
        <w:ind w:right="-14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Звіт незалежного аудитора </w:t>
      </w:r>
      <w:r w:rsidDel="00000000" w:rsidR="00000000" w:rsidRPr="00000000">
        <w:rPr>
          <w:rFonts w:ascii="Times New Roman" w:cs="Times New Roman" w:eastAsia="Times New Roman" w:hAnsi="Times New Roman"/>
          <w:i w:val="1"/>
          <w:color w:val="00335c"/>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призначається управлінському персоналу та власникам цінних паперів Приватного акціонерного товариства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БЕТОН</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Національній комісії з цінних паперів та фондового ринку. </w:t>
      </w:r>
    </w:p>
    <w:p w:rsidR="00000000" w:rsidDel="00000000" w:rsidP="00000000" w:rsidRDefault="00000000" w:rsidRPr="00000000" w14:paraId="00000018">
      <w:pPr>
        <w:spacing w:after="0" w:lineRule="auto"/>
        <w:ind w:right="-142"/>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9">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Звіт незалежного аудитора з надання обґрунтованої впевненості щодо інформації, наведеної відповідно до вимог пунктів 5-9  частини 3 ст.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у Звіті про корпоративне управління ПРИВАТНОГО АКЦІОНЕРНОГО ТОВАРИСТВА «</w:t>
      </w:r>
      <w:r w:rsidDel="00000000" w:rsidR="00000000" w:rsidRPr="00000000">
        <w:rPr>
          <w:rFonts w:ascii="Times New Roman" w:cs="Times New Roman" w:eastAsia="Times New Roman" w:hAnsi="Times New Roman"/>
          <w:rtl w:val="0"/>
        </w:rPr>
        <w:t xml:space="preserve">БЕТОН</w:t>
      </w:r>
      <w:r w:rsidDel="00000000" w:rsidR="00000000" w:rsidRPr="00000000">
        <w:rPr>
          <w:rFonts w:ascii="Times New Roman" w:cs="Times New Roman" w:eastAsia="Times New Roman" w:hAnsi="Times New Roman"/>
          <w:sz w:val="24"/>
          <w:szCs w:val="24"/>
          <w:rtl w:val="0"/>
        </w:rPr>
        <w:t xml:space="preserve">» ( далі - ПрАТ "Бетон") за період з 01 січня 2020 року по 31 грудня 2020 року, який подається до Національної комісії з цінних паперів та фондового ринку при розкритті інформації Товариством та призначається для акціонерів та керівництва  ПрАТ "Бетон" складено за результатами виконання завдання ТОВАРИСТВА З ОБМЕЖЕНОЮ ВІДПОВІДАЛЬНІСТЮ «СІЧЕНЬ-АУДИТ» у відповідності до Закону України « Про аудит фінансової звітності та аудиторську діяльність» та Міжнародним стандартом завдань з надання впевненості (далі-МСЗНВ) 3000 (переглянутий) «Завдання з надання впевненості, що не є аудитом чи оглядом історичної фінансової інформації».</w:t>
      </w:r>
    </w:p>
    <w:p w:rsidR="00000000" w:rsidDel="00000000" w:rsidP="00000000" w:rsidRDefault="00000000" w:rsidRPr="00000000" w14:paraId="0000001A">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B">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C">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Інформація про предмет завдання</w:t>
      </w:r>
    </w:p>
    <w:p w:rsidR="00000000" w:rsidDel="00000000" w:rsidP="00000000" w:rsidRDefault="00000000" w:rsidRPr="00000000" w14:paraId="0000001D">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Цей звіт містить результати виконання завдання з надання обґрунтованої впевненості щодо інформації, наведеної відповідно до вимог пунктів 5-9  частини 3 ст.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у Звіті про корпоративне управління  ПрАТ "Бетон" за рік, що закінчився 31 грудня 2020 року й включає:</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основних характеристик системи внутрішнього контролю і управління ризиками емітента;</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перелік осіб, які прямо або опосередковано є власниками значного пакета акцій емітента;</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інформацію про будь-які обмеження прав участі та голосування акціонерів на загальних зборах емітента;</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порядку призначення та звільнення посадових осіб емітента;</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0" w:firstLine="850"/>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 повноважень посадових осіб  ПрАТ </w:t>
      </w:r>
      <w:r w:rsidDel="00000000" w:rsidR="00000000" w:rsidRPr="00000000">
        <w:rPr>
          <w:rFonts w:ascii="Times New Roman" w:cs="Times New Roman" w:eastAsia="Times New Roman" w:hAnsi="Times New Roman"/>
          <w:sz w:val="24"/>
          <w:szCs w:val="24"/>
          <w:rtl w:val="0"/>
        </w:rPr>
        <w:t xml:space="preserve">"Бетон"</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Застосовані критерії</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Критеріями для оцінки складання і подання інформації, наведеної в Звіті про корпоративне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управління  ПрАТ </w:t>
      </w:r>
      <w:r w:rsidDel="00000000" w:rsidR="00000000" w:rsidRPr="00000000">
        <w:rPr>
          <w:rFonts w:ascii="Times New Roman" w:cs="Times New Roman" w:eastAsia="Times New Roman" w:hAnsi="Times New Roman"/>
          <w:sz w:val="24"/>
          <w:szCs w:val="24"/>
          <w:rtl w:val="0"/>
        </w:rPr>
        <w:t xml:space="preserve">"Бетон"</w:t>
      </w:r>
      <w:r w:rsidDel="00000000" w:rsidR="00000000" w:rsidRPr="00000000">
        <w:rPr>
          <w:rFonts w:ascii="Times New Roman" w:cs="Times New Roman" w:eastAsia="Times New Roman" w:hAnsi="Times New Roman"/>
          <w:color w:val="000000"/>
          <w:sz w:val="24"/>
          <w:szCs w:val="24"/>
          <w:rtl w:val="0"/>
        </w:rPr>
        <w:t xml:space="preserve"> за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color w:val="000000"/>
          <w:sz w:val="24"/>
          <w:szCs w:val="24"/>
          <w:rtl w:val="0"/>
        </w:rPr>
        <w:t xml:space="preserve"> рік є застосовані вимоги  пунктів 5-9 частини 3 ст. 40</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rtl w:val="0"/>
        </w:rPr>
        <w:t xml:space="preserve">Закону України "Про цінні папери та фондовий ринок".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Джерела застосованих критеріїв базуються на положеннях Законів України «Про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бухгалтерський облік та фінансову звітність в Україні» від 16.07.1999 року ( в редакції Закону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України №2545-VIII від 18.09.20</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8 року), «Про акціонерні товариства» від 17.09.2008 №514-VI,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«Про фондовий ринок та цінні папери» від 23.02.2006 року №3480- IV, « Про державне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регулювання ринку цінних паперів в Україні» від 30.10.1996 року №448/96-ВР, Методичних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рекомендацій зі складання звіту про управління, затверджених наказом Міністерства </w:t>
      </w:r>
      <w:r w:rsidDel="00000000" w:rsidR="00000000" w:rsidRPr="00000000">
        <w:rPr>
          <w:rFonts w:ascii="Times New Roman" w:cs="Times New Roman" w:eastAsia="Times New Roman" w:hAnsi="Times New Roman"/>
          <w:sz w:val="24"/>
          <w:szCs w:val="24"/>
          <w:rtl w:val="0"/>
        </w:rPr>
        <w:t xml:space="preserve">фінансів України</w:t>
      </w:r>
      <w:r w:rsidDel="00000000" w:rsidR="00000000" w:rsidRPr="00000000">
        <w:rPr>
          <w:rFonts w:ascii="Times New Roman" w:cs="Times New Roman" w:eastAsia="Times New Roman" w:hAnsi="Times New Roman"/>
          <w:color w:val="000000"/>
          <w:sz w:val="24"/>
          <w:szCs w:val="24"/>
          <w:rtl w:val="0"/>
        </w:rPr>
        <w:t xml:space="preserve"> 07.12.2018 року№982.</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firstLine="85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Відповідальність управлінського персоналу та тих, кого наділено найвищими повноваженнями, за звіт керівництва</w:t>
      </w:r>
    </w:p>
    <w:p w:rsidR="00000000" w:rsidDel="00000000" w:rsidP="00000000" w:rsidRDefault="00000000" w:rsidRPr="00000000" w14:paraId="00000029">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Управлiнський персонал несе відповідальність за підготовку звіту  про корпоративне управління відповідно до Закону України «Про цінні папери та фондовий ринок» . Ця відповідальність охоплює розробку, впровадження та підтримання внутрішнього контролю, який стосується підготовки звіту керівництва, що не міститиме суттєвих викривлень внаслідок шахрайства чи помилок. Ті, кого наділено найвищими повноваженнями, несуть відповідальність за нагляд за процесом формування інформації Звіту про корпоративне управління. Відповідно до ст..7 Закону України «Про аудит фінансової звітності та аудиторську діяльність» посадові особи ПрАТ "Бетон" несуть відповідальність за повноту і достовірність документів та іншої інформації, що були надані Аудитору для виконання цього завдання.</w:t>
      </w:r>
    </w:p>
    <w:p w:rsidR="00000000" w:rsidDel="00000000" w:rsidP="00000000" w:rsidRDefault="00000000" w:rsidRPr="00000000" w14:paraId="0000002A">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B">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Наша незалежність та контроль якості </w:t>
      </w:r>
    </w:p>
    <w:p w:rsidR="00000000" w:rsidDel="00000000" w:rsidP="00000000" w:rsidRDefault="00000000" w:rsidRPr="00000000" w14:paraId="0000002C">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Ми є незалежними по відношенню до ПрАТ "Бетон" згідно з Кодексом етики професійних бухгалтерів Ради з міжнародних стандартів етики для бухгалтерів (Кодекс РМСЕБ) до нашого завдання з надання впевненості щодо інформації Звіту про корпоративне управління, який включає вимоги до незалежності та інші вимоги, засновані на фундаментальних принципах чесності, об’єктивності, професійної компетентності та належної ретельності, конфіденційності й професійної поведінки. Відповідно до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 ТОВ «Січень-Аудит» впровадила комплексну систему контролю якості, що включає формалізовані політику та процедури стосовно дотримання вимог етики, професійних стандартів і застосовних законодавчих та нормативних вимог. </w:t>
      </w:r>
      <w:r w:rsidDel="00000000" w:rsidR="00000000" w:rsidRPr="00000000">
        <w:rPr>
          <w:rtl w:val="0"/>
        </w:rPr>
      </w:r>
    </w:p>
    <w:p w:rsidR="00000000" w:rsidDel="00000000" w:rsidP="00000000" w:rsidRDefault="00000000" w:rsidRPr="00000000" w14:paraId="0000002D">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Наша відповідальність</w:t>
      </w:r>
    </w:p>
    <w:p w:rsidR="00000000" w:rsidDel="00000000" w:rsidP="00000000" w:rsidRDefault="00000000" w:rsidRPr="00000000" w14:paraId="0000002F">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Нашою відповідальністю є висловлення думки щодо звіту про корпоративне управління ПрАТ "Бетон" на основі отриманих нами доказів. Ми провели наше завдання з урахуванням Міжнародного стандарту завдань з надання впевненості 3000 «Завдання з надання впевненості, що не є аудитом чи оглядом історичної фінансової інформації» (МСЗНВ 3000 (переглянутий)), затвердженого Радою з Міжнародних стандартів аудиту та надання впевненості. Цей стандарт вимагає від нас планування й виконання завдання для отримання достатньої впевненості в тому, що звіт про корпоративне управління не містить суттєвих викривлень. Завдання з надання обґрунтованої впевненості відповідно до МСЗНВ 3000 (переглянутий) включає виконання процедур для отримання доказів щодо відповідності інформації в звіті про корпоративне управління вимогам п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Характер, час та обсяг обраних процедур залежать від професійного судження аудитора, включаючи оцінку ризиків суттєвого викривлення внаслідок шахрайства чи помилки, в звіті про корпоративне управління. Оцінюючи ризики, ми розглянули заходи внутрішнього контролю, доречні для підготовки звіту керівництва ПрАТ "Бетон". </w:t>
      </w:r>
    </w:p>
    <w:p w:rsidR="00000000" w:rsidDel="00000000" w:rsidP="00000000" w:rsidRDefault="00000000" w:rsidRPr="00000000" w14:paraId="00000030">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виконання цього завдання ми не проводили аудит чи огляд фінансової інформації, яка використовувалась при підготовці звіту керівництва.</w:t>
      </w:r>
    </w:p>
    <w:p w:rsidR="00000000" w:rsidDel="00000000" w:rsidP="00000000" w:rsidRDefault="00000000" w:rsidRPr="00000000" w14:paraId="00000031">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вважаємо, що отримали достатні та відповідні докази для висловлення нашої думки щодо складання і подання інформації, наведеної у Звіті про корпоративне управління ПрАТ "Бетон" за 2020 рік, відповідно до вимог п.п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а також перевірки інформації, зазначеної відповідно до вимог п.п 1-4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w:t>
      </w:r>
    </w:p>
    <w:p w:rsidR="00000000" w:rsidDel="00000000" w:rsidP="00000000" w:rsidRDefault="00000000" w:rsidRPr="00000000" w14:paraId="00000032">
      <w:pPr>
        <w:spacing w:after="0" w:lineRule="auto"/>
        <w:ind w:firstLine="85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Висновок</w:t>
      </w:r>
    </w:p>
    <w:p w:rsidR="00000000" w:rsidDel="00000000" w:rsidP="00000000" w:rsidRDefault="00000000" w:rsidRPr="00000000" w14:paraId="00000033">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нашу думку ПрАТ "Бетон" дотримувалося в усіх суттєвих аспектах  вимог закону України "Про цінні папери та фондовий ринок" в частині складання Звіту про корпоративне управління. </w:t>
      </w:r>
    </w:p>
    <w:p w:rsidR="00000000" w:rsidDel="00000000" w:rsidP="00000000" w:rsidRDefault="00000000" w:rsidRPr="00000000" w14:paraId="00000034">
      <w:pPr>
        <w:spacing w:after="0" w:lineRule="auto"/>
        <w:ind w:firstLine="85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color w:val="00335c"/>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На основі виконаних процедур та отриманих доказів ніщо не привернуло нашої уваги, щоб змусило нас вважати, що ПрАТ "Бетон" не дотрималося в усіх суттєвих аспектах вимог пунктів 5-9,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Закону України "Про цінні папери та фондовий ринок". Також, нами була перевірена достовірність інформації, яка зазначена у пунктах 1-4,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стосовно якої ми не висловлюємо нашу думку, згідно частини 3 статті 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 </w:t>
      </w:r>
    </w:p>
    <w:p w:rsidR="00000000" w:rsidDel="00000000" w:rsidP="00000000" w:rsidRDefault="00000000" w:rsidRPr="00000000" w14:paraId="00000035">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Інформацiя у Звiтi про корпоративне управлiння стосовно:</w:t>
      </w:r>
    </w:p>
    <w:p w:rsidR="00000000" w:rsidDel="00000000" w:rsidP="00000000" w:rsidRDefault="00000000" w:rsidRPr="00000000" w14:paraId="00000036">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опису основних характеристик внутрiшнього контролю i управлiння ризиками підприємства; </w:t>
      </w:r>
    </w:p>
    <w:p w:rsidR="00000000" w:rsidDel="00000000" w:rsidP="00000000" w:rsidRDefault="00000000" w:rsidRPr="00000000" w14:paraId="00000037">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перелiку осiб,  якi прямо або опосередковано є власниками значного пакета акцiй підприємства;</w:t>
      </w:r>
    </w:p>
    <w:p w:rsidR="00000000" w:rsidDel="00000000" w:rsidP="00000000" w:rsidRDefault="00000000" w:rsidRPr="00000000" w14:paraId="00000038">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обмежень прав участi та голосування акцiонерiв (учасникiв) на загальних зборах підприємства;</w:t>
      </w:r>
    </w:p>
    <w:p w:rsidR="00000000" w:rsidDel="00000000" w:rsidP="00000000" w:rsidRDefault="00000000" w:rsidRPr="00000000" w14:paraId="00000039">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про порядок призначення та  звiльнення посадових осiб підприємства;</w:t>
      </w:r>
    </w:p>
    <w:p w:rsidR="00000000" w:rsidDel="00000000" w:rsidP="00000000" w:rsidRDefault="00000000" w:rsidRPr="00000000" w14:paraId="0000003A">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повноваження посадових осiб підприємства</w:t>
      </w:r>
    </w:p>
    <w:p w:rsidR="00000000" w:rsidDel="00000000" w:rsidP="00000000" w:rsidRDefault="00000000" w:rsidRPr="00000000" w14:paraId="0000003B">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узгоджується з iнформацiєю, яка мiститься у фiнансовiй звiтностi, та нашими знаннями, отриманими пiд час перевiрки корпоративних та статутних документів  за  звiтний перiод,  що закiнчився 31.12.2020 року.</w:t>
      </w:r>
    </w:p>
    <w:p w:rsidR="00000000" w:rsidDel="00000000" w:rsidP="00000000" w:rsidRDefault="00000000" w:rsidRPr="00000000" w14:paraId="0000003C">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Крiм того, пiд час перевірки Звiту про корпоративне управлiння ми перевiрили, що iнформацiя, розкриття якої вимагається пп. 1-4 частини 3 ст.40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про цiннi папери, а саме:</w:t>
      </w:r>
    </w:p>
    <w:p w:rsidR="00000000" w:rsidDel="00000000" w:rsidP="00000000" w:rsidRDefault="00000000" w:rsidRPr="00000000" w14:paraId="0000003D">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посилання на власний кодекс корпоративного управлiння, яким керується пiдприємство, або на кодекс корпоративного управлiння фондової бiржi, об’єднання юридичних осiб або iнший кодекс корпоративного управлiння, який пiдприємство добровiльно вирiшило застосовувати з розкриттям вiдповiдної iнформацiї про практику корпоративного управлiння, застосовувану понад визначенi законодавством вимоги;</w:t>
      </w:r>
    </w:p>
    <w:p w:rsidR="00000000" w:rsidDel="00000000" w:rsidP="00000000" w:rsidRDefault="00000000" w:rsidRPr="00000000" w14:paraId="0000003E">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про проведенi загальнi збори акцiонерiв (учасникiв) та загальний опис прийнятих на зборах рішень;</w:t>
      </w:r>
    </w:p>
    <w:p w:rsidR="00000000" w:rsidDel="00000000" w:rsidP="00000000" w:rsidRDefault="00000000" w:rsidRPr="00000000" w14:paraId="0000003F">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 персональний склад Наглядової ради та одноосібний виконавчий орган пiдприємства, iнформацiю про проведенi засiдання та загальний опис прийнятих на них рiшень </w:t>
      </w:r>
    </w:p>
    <w:p w:rsidR="00000000" w:rsidDel="00000000" w:rsidP="00000000" w:rsidRDefault="00000000" w:rsidRPr="00000000" w14:paraId="00000040">
      <w:pPr>
        <w:spacing w:after="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розкрита у звiтi про корпоративне управлiння повнiстю у вiдповiдностi до вимог ст.40</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Закону України "Про цінні папери та фондовий ринок".</w:t>
      </w:r>
    </w:p>
    <w:p w:rsidR="00000000" w:rsidDel="00000000" w:rsidP="00000000" w:rsidRDefault="00000000" w:rsidRPr="00000000" w14:paraId="00000041">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Основні відомості про аудиторську фірму:</w:t>
      </w:r>
    </w:p>
    <w:p w:rsidR="00000000" w:rsidDel="00000000" w:rsidP="00000000" w:rsidRDefault="00000000" w:rsidRPr="00000000" w14:paraId="00000043">
      <w:pPr>
        <w:spacing w:after="0" w:lineRule="auto"/>
        <w:ind w:left="1136" w:right="824" w:hanging="2.0000000000000284"/>
        <w:rPr>
          <w:rFonts w:ascii="Times New Roman" w:cs="Times New Roman" w:eastAsia="Times New Roman" w:hAnsi="Times New Roman"/>
          <w:color w:val="000000"/>
          <w:sz w:val="24"/>
          <w:szCs w:val="24"/>
        </w:rPr>
      </w:pPr>
      <w:r w:rsidDel="00000000" w:rsidR="00000000" w:rsidRPr="00000000">
        <w:rPr>
          <w:rtl w:val="0"/>
        </w:rPr>
      </w:r>
    </w:p>
    <w:tbl>
      <w:tblPr>
        <w:tblStyle w:val="Table1"/>
        <w:tblW w:w="9720.0" w:type="dxa"/>
        <w:jc w:val="left"/>
        <w:tblInd w:w="0.0" w:type="dxa"/>
        <w:tblLayout w:type="fixed"/>
        <w:tblLook w:val="0400"/>
      </w:tblPr>
      <w:tblGrid>
        <w:gridCol w:w="3375"/>
        <w:gridCol w:w="6345"/>
        <w:tblGridChange w:id="0">
          <w:tblGrid>
            <w:gridCol w:w="3375"/>
            <w:gridCol w:w="6345"/>
          </w:tblGrid>
        </w:tblGridChange>
      </w:tblGrid>
      <w:tr>
        <w:trPr>
          <w:trHeight w:val="1" w:hRule="atLeast"/>
        </w:trPr>
        <w:tc>
          <w:tcPr>
            <w:tcBorders>
              <w:top w:color="000000" w:space="0" w:sz="4"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Повне найменування </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Товариство з обмеженою відповідальністю "Січень-Аудит"</w:t>
            </w:r>
            <w:r w:rsidDel="00000000" w:rsidR="00000000" w:rsidRPr="00000000">
              <w:rPr>
                <w:rtl w:val="0"/>
              </w:rPr>
            </w:r>
          </w:p>
        </w:tc>
      </w:tr>
      <w:t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Код ЄДРПОУ</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32996030</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про включення до Реєстру суб’єктів аудиторської діяльності (розділ «Суб’єкти аудиторської діяльності»)</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№3422</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ПІБ аудитора, серія, номер, дата видачі Сертифіката аудитора, виданого АПУ</w:t>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Пловецька Олена Костянтинівна, сертифікат №003644 серії “А”, виданий рішенням Аудиторської палати України № 25 від 14 лютого 1995 року</w:t>
            </w:r>
          </w:p>
          <w:p w:rsidR="00000000" w:rsidDel="00000000" w:rsidP="00000000" w:rsidRDefault="00000000" w:rsidRPr="00000000" w14:paraId="0000004C">
            <w:pPr>
              <w:spacing w:after="0" w:lineRule="auto"/>
              <w:rPr>
                <w:rFonts w:ascii="Times New Roman" w:cs="Times New Roman" w:eastAsia="Times New Roman" w:hAnsi="Times New Roman"/>
                <w:sz w:val="24"/>
                <w:szCs w:val="24"/>
              </w:rPr>
            </w:pP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Місцезнаходження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36022, м. Полтава, вул. Небесної сотні, 91</w:t>
            </w:r>
            <w:r w:rsidDel="00000000" w:rsidR="00000000" w:rsidRPr="00000000">
              <w:rPr>
                <w:rtl w:val="0"/>
              </w:rPr>
            </w:r>
          </w:p>
        </w:tc>
      </w:tr>
      <w:tr>
        <w:trPr>
          <w:trHeight w:val="1" w:hRule="atLeast"/>
        </w:trPr>
        <w:tc>
          <w:tcPr>
            <w:tcBorders>
              <w:top w:color="000000" w:space="0" w:sz="6" w:val="single"/>
              <w:left w:color="000000" w:space="0" w:sz="4"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Свідоцтво про відповідність системи контролю якості аудиторських послуг</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0617 (Рішення  АПУ від 28.07.2016 р. №327/4)</w:t>
            </w:r>
            <w:r w:rsidDel="00000000" w:rsidR="00000000" w:rsidRPr="00000000">
              <w:rPr>
                <w:rtl w:val="0"/>
              </w:rPr>
            </w:r>
          </w:p>
        </w:tc>
      </w:tr>
    </w:tbl>
    <w:p w:rsidR="00000000" w:rsidDel="00000000" w:rsidP="00000000" w:rsidRDefault="00000000" w:rsidRPr="00000000" w14:paraId="00000051">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52">
      <w:pPr>
        <w:spacing w:after="0" w:lineRule="auto"/>
        <w:ind w:right="824"/>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Час проведення перевірки:  з </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року по </w:t>
      </w: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color w:val="000000"/>
          <w:sz w:val="24"/>
          <w:szCs w:val="24"/>
          <w:rtl w:val="0"/>
        </w:rPr>
        <w:t xml:space="preserve"> року.</w:t>
      </w:r>
    </w:p>
    <w:p w:rsidR="00000000" w:rsidDel="00000000" w:rsidP="00000000" w:rsidRDefault="00000000" w:rsidRPr="00000000" w14:paraId="00000053">
      <w:pPr>
        <w:spacing w:after="0" w:lineRule="auto"/>
        <w:ind w:right="82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Директор  </w:t>
      </w:r>
    </w:p>
    <w:p w:rsidR="00000000" w:rsidDel="00000000" w:rsidP="00000000" w:rsidRDefault="00000000" w:rsidRPr="00000000" w14:paraId="0000005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Товариства з обмеженою</w:t>
      </w:r>
    </w:p>
    <w:p w:rsidR="00000000" w:rsidDel="00000000" w:rsidP="00000000" w:rsidRDefault="00000000" w:rsidRPr="00000000" w14:paraId="0000005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відповідальністю “Січень-Аудит”                     ___________________   О. К. Пловецька</w:t>
      </w:r>
    </w:p>
    <w:p w:rsidR="00000000" w:rsidDel="00000000" w:rsidP="00000000" w:rsidRDefault="00000000" w:rsidRPr="00000000" w14:paraId="0000005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сертифiкат аудитора серiї "А" №003644</w:t>
      </w:r>
    </w:p>
    <w:p w:rsidR="00000000" w:rsidDel="00000000" w:rsidP="00000000" w:rsidRDefault="00000000" w:rsidRPr="00000000" w14:paraId="00000059">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A">
      <w:pPr>
        <w:spacing w:after="0" w:lineRule="auto"/>
        <w:ind w:left="1136" w:right="824" w:hanging="7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Україна,36022, м. Полтава, вул. Небесної Сотні, 91</w:t>
      </w:r>
    </w:p>
    <w:p w:rsidR="00000000" w:rsidDel="00000000" w:rsidP="00000000" w:rsidRDefault="00000000" w:rsidRPr="00000000" w14:paraId="0000005B">
      <w:pPr>
        <w:spacing w:after="0" w:lineRule="auto"/>
        <w:ind w:left="1136" w:right="824" w:firstLine="852.000000000000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C">
      <w:pPr>
        <w:spacing w:after="0" w:lineRule="auto"/>
        <w:ind w:left="1136" w:right="824" w:hanging="2.0000000000000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квіт</w:t>
      </w:r>
      <w:r w:rsidDel="00000000" w:rsidR="00000000" w:rsidRPr="00000000">
        <w:rPr>
          <w:rFonts w:ascii="Times New Roman" w:cs="Times New Roman" w:eastAsia="Times New Roman" w:hAnsi="Times New Roman"/>
          <w:color w:val="000000"/>
          <w:sz w:val="24"/>
          <w:szCs w:val="24"/>
          <w:rtl w:val="0"/>
        </w:rPr>
        <w:t xml:space="preserve">ня 202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року.</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6838" w:w="11906" w:orient="portrait"/>
      <w:pgMar w:bottom="850" w:top="850" w:left="1133.8582677165355"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5" w:hanging="360"/>
      </w:pPr>
      <w:rPr>
        <w:rFonts w:ascii="Times New Roman" w:cs="Times New Roman" w:eastAsia="Times New Roman" w:hAnsi="Times New Roman"/>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